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1522575</wp:posOffset>
            </wp:positionH>
            <wp:positionV relativeFrom="paragraph">
              <wp:posOffset>114300</wp:posOffset>
            </wp:positionV>
            <wp:extent cx="2686050" cy="22516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1309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5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Lora" w:cs="Lora" w:eastAsia="Lora" w:hAnsi="Lora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sz w:val="30"/>
          <w:szCs w:val="30"/>
          <w:rtl w:val="0"/>
        </w:rPr>
        <w:t xml:space="preserve">FACULTAD DE INGENIERÍA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color w:val="1155cc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32"/>
          <w:szCs w:val="32"/>
          <w:rtl w:val="0"/>
        </w:rPr>
        <w:t xml:space="preserve">Desarrollo de la logística en el proceso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32"/>
          <w:szCs w:val="32"/>
          <w:rtl w:val="0"/>
        </w:rPr>
        <w:t xml:space="preserve">de producción de una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Tesis  para obtener el título de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Ingeniero en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Tecnología de Procesos</w:t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Presentado por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Juan Pérez Pérez 320000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Director: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M.I. Joseph Isaac Ramírez Hernández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Mes Año</w:t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